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ШАБЛОН ДЛЯ ПОДГОТОВКИ ЗАКУПКИ · РЕДАКЦИЯ 2026</w:t>
      </w:r>
    </w:p>
    <w:p>
      <w:pPr>
        <w:pStyle w:val="Title"/>
      </w:pPr>
      <w:r>
        <w:t>ТИПОВОЕ ТЕХНИЧЕСКОЕ ЗАДАНИЕ</w:t>
      </w:r>
    </w:p>
    <w:p>
      <w:pPr>
        <w:pStyle w:val="Subtitle"/>
      </w:pPr>
      <w:r>
        <w:t>на поставку прав использования и внедрение аналитической ИИ‑платформы Р13.ОРБИТА</w:t>
      </w:r>
    </w:p>
    <w:p>
      <w:pPr>
        <w:spacing w:after="320"/>
        <w:pBdr>
          <w:bottom w:val="single" w:sz="18" w:space="8" w:color="1B1D59"/>
        </w:pBdr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2700"/>
        <w:gridCol w:w="6660"/>
      </w:tblGrid>
      <w:tr>
        <w:tc>
          <w:tcPr>
            <w:tcW w:type="dxa" w:w="2700"/>
            <w:shd w:fill="F8F8F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sz w:val="18"/>
              </w:rPr>
              <w:t>Заказчик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[полное наименование организации]</w:t>
            </w:r>
          </w:p>
        </w:tc>
      </w:tr>
      <w:tr>
        <w:tc>
          <w:tcPr>
            <w:tcW w:type="dxa" w:w="2700"/>
            <w:shd w:fill="E9E5DB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sz w:val="18"/>
              </w:rPr>
              <w:t>Объект автоматизации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[информационная система / подразделение / контур]</w:t>
            </w:r>
          </w:p>
        </w:tc>
      </w:tr>
      <w:tr>
        <w:tc>
          <w:tcPr>
            <w:tcW w:type="dxa" w:w="2700"/>
            <w:shd w:fill="F8F8F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sz w:val="18"/>
              </w:rPr>
              <w:t>Место оказания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[адрес / удалённо / защищённый контур]</w:t>
            </w:r>
          </w:p>
        </w:tc>
      </w:tr>
      <w:tr>
        <w:tc>
          <w:tcPr>
            <w:tcW w:type="dxa" w:w="2700"/>
            <w:shd w:fill="E9E5DB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sz w:val="18"/>
              </w:rPr>
              <w:t>Срок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[дата начала] — [дата завершения]</w:t>
            </w:r>
          </w:p>
        </w:tc>
      </w:tr>
      <w:tr>
        <w:tc>
          <w:tcPr>
            <w:tcW w:type="dxa" w:w="2700"/>
            <w:shd w:fill="F8F8F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sz w:val="18"/>
              </w:rPr>
              <w:t>Закупка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права использования + внедрение + обучение + сопровождение [уточнить]</w:t>
            </w:r>
          </w:p>
        </w:tc>
      </w:tr>
    </w:tbl>
    <w:p>
      <w:pPr>
        <w:pStyle w:val="Callout"/>
      </w:pPr>
      <w:r>
        <w:rPr>
          <w:b/>
        </w:rPr>
        <w:t xml:space="preserve">Как использовать шаблон. </w:t>
      </w:r>
      <w:r>
        <w:t>Квадратные скобки обозначают поля Заказчика. До публикации документа исключите неприменимые требования, заполните параметры нагрузки и SLA, согласуйте модель лицензирования и проверьте соответствие закупочной документации действующему праву.</w:t>
      </w:r>
    </w:p>
    <w:p>
      <w:pPr>
        <w:pStyle w:val="Heading1"/>
      </w:pPr>
      <w:r>
        <w:t>1. Общие положения</w:t>
      </w:r>
    </w:p>
    <w:p>
      <w:r>
        <w:t>Настоящее техническое задание определяет требования к предоставлению Заказчику прав использования программного продукта «Р13.ОРБИТА» и, при включении в предмет закупки, к его установке, настройке, интеграции, обучению пользователей и сопровождению.</w:t>
      </w:r>
    </w:p>
    <w:p>
      <w:pPr>
        <w:pStyle w:val="ListBullet"/>
      </w:pPr>
      <w:r>
        <w:t>Документ является примером и подлежит адаптации под архитектуру, режим эксплуатации и закупочную процедуру Заказчика.</w:t>
      </w:r>
    </w:p>
    <w:p>
      <w:pPr>
        <w:pStyle w:val="ListBullet"/>
      </w:pPr>
      <w:r>
        <w:t>Функциональные требования сформулированы через ожидаемый результат; конкретные внутренние технологии участник вправе предложить самостоятельно, если сохранена эквивалентность.</w:t>
      </w:r>
    </w:p>
    <w:p>
      <w:pPr>
        <w:pStyle w:val="ListBullet"/>
      </w:pPr>
      <w:r>
        <w:t>При расхождении технического задания, договора, лицензионных условий и спецификации приоритет определяется проектом договора Заказчика.</w:t>
      </w:r>
    </w:p>
    <w:p>
      <w:pPr>
        <w:pStyle w:val="Heading1"/>
      </w:pPr>
      <w:r>
        <w:t>2. Термины и сокращения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3000"/>
        <w:gridCol w:w="6360"/>
      </w:tblGrid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Термин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Определение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Платформа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Р13.ОРБИТА — аналитическая ИИ‑платформа для работы с данными на естественном языке.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Домен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Машиночитаемое описание предметной области: источники, таблицы, поля, связи, бизнес‑термины, правила и примеры.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Набор данных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Результат запроса пользователя, сохранённый для повторного использования, визуализации или отчёта.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LLM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Большая языковая модель, подключённая к интеллектуальному ядру Платформы.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SSO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Единая аутентификация пользователей через корпоративного поставщика идентификации.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EULA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Лицензионные условия конечного пользователя, действующие для поставляемой версии Платформы.</w:t>
            </w:r>
          </w:p>
        </w:tc>
      </w:tr>
    </w:tbl>
    <w:p/>
    <w:p>
      <w:pPr>
        <w:pStyle w:val="Heading1"/>
      </w:pPr>
      <w:r>
        <w:t>3. Цели и ожидаемые результаты</w:t>
      </w:r>
    </w:p>
    <w:p>
      <w:pPr>
        <w:pStyle w:val="ListBullet"/>
      </w:pPr>
      <w:r>
        <w:t>предоставить авторизованным пользователям диалоговый доступ к данным и отчётности на русском и английском языках;</w:t>
      </w:r>
    </w:p>
    <w:p>
      <w:pPr>
        <w:pStyle w:val="ListBullet"/>
      </w:pPr>
      <w:r>
        <w:t>сократить время подготовки аналитических выборок и произвольных отчётов без расширения штатной разработки;</w:t>
      </w:r>
    </w:p>
    <w:p>
      <w:pPr>
        <w:pStyle w:val="ListBullet"/>
      </w:pPr>
      <w:r>
        <w:t>обеспечить проверяемость результата: показать план выполнения, сформированный запрос, источники, таблицу результата и пояснение;</w:t>
      </w:r>
    </w:p>
    <w:p>
      <w:pPr>
        <w:pStyle w:val="ListBullet"/>
      </w:pPr>
      <w:r>
        <w:t>обеспечить безопасное исполнение запросов с ограничением только на чтение и контролем объёма выдачи;</w:t>
      </w:r>
    </w:p>
    <w:p>
      <w:pPr>
        <w:pStyle w:val="ListBullet"/>
      </w:pPr>
      <w:r>
        <w:t>создать расширяемую доменную модель, которую администратор может обновлять без пересборки программного кода;</w:t>
      </w:r>
    </w:p>
    <w:p>
      <w:pPr>
        <w:pStyle w:val="ListBullet"/>
      </w:pPr>
      <w:r>
        <w:t>обеспечить интеграцию с существующими информационными системами, офисными приложениями и корпоративной системой идентификации.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3000"/>
        <w:gridCol w:w="6360"/>
      </w:tblGrid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Плановое значение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Количество пользователей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[указать], в том числе одновременно активных — [указать]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Количество источников данных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[указать] на старте; возможность расширения без смены архитектуры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Целевое время типового ответа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[указать] секунд для согласованного тестового набора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Доступность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[указать] %, исключая согласованные окна обслуживания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Срок восстановления метаданных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не более 24 часов либо более строгое значение Заказчика</w:t>
            </w:r>
          </w:p>
        </w:tc>
      </w:tr>
    </w:tbl>
    <w:p/>
    <w:p>
      <w:pPr>
        <w:pStyle w:val="Heading1"/>
      </w:pPr>
      <w:r>
        <w:t>4. Состав поставки и этапы</w:t>
      </w:r>
    </w:p>
    <w:p>
      <w:pPr>
        <w:pStyle w:val="ListNumber"/>
      </w:pPr>
      <w:r>
        <w:t>Обследование: уточнение источников, ролей, сценариев, требований информационной безопасности и целевых показателей.</w:t>
      </w:r>
    </w:p>
    <w:p>
      <w:pPr>
        <w:pStyle w:val="ListNumber"/>
      </w:pPr>
      <w:r>
        <w:t>Поставка прав использования на согласованное число установок / экземпляров / пользователей согласно спецификации.</w:t>
      </w:r>
    </w:p>
    <w:p>
      <w:pPr>
        <w:pStyle w:val="ListNumber"/>
      </w:pPr>
      <w:r>
        <w:t>Развёртывание серверного контура и клиентских компонентов в инфраструктуре Заказчика.</w:t>
      </w:r>
    </w:p>
    <w:p>
      <w:pPr>
        <w:pStyle w:val="ListNumber"/>
      </w:pPr>
      <w:r>
        <w:t>Интеграция с источниками, SSO, журналированием, мониторингом и офисными приложениями в согласованном объёме.</w:t>
      </w:r>
    </w:p>
    <w:p>
      <w:pPr>
        <w:pStyle w:val="ListNumber"/>
      </w:pPr>
      <w:r>
        <w:t>Настройка доменов, шаблонов отчётов, ролевой модели, ограничений и пользовательских сценариев.</w:t>
      </w:r>
    </w:p>
    <w:p>
      <w:pPr>
        <w:pStyle w:val="ListNumber"/>
      </w:pPr>
      <w:r>
        <w:t>Испытания, устранение замечаний, обучение и передача эксплуатационной документации.</w:t>
      </w:r>
    </w:p>
    <w:p>
      <w:pPr>
        <w:pStyle w:val="ListNumber"/>
      </w:pPr>
      <w:r>
        <w:t>Опытная эксплуатация / гарантийное сопровождение — [включить при необходимости].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3000"/>
        <w:gridCol w:w="6360"/>
      </w:tblGrid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Результат этапа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Подтверждающий документ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Права использования и дистрибутив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лицензионный ключ / доступ к репозиторию, акт передачи прав, актуальные EULA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Настроенная Платформа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протокол установки и конфигурации, перечень подключений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Доменные модели и шаблоны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реестр конфигурационных файлов и методика ведения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Обучение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программа, материалы, список участников, отчёт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Приёмка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программа и методика испытаний, протокол, акт</w:t>
            </w:r>
          </w:p>
        </w:tc>
      </w:tr>
    </w:tbl>
    <w:p/>
    <w:p>
      <w:pPr>
        <w:pStyle w:val="Heading1"/>
      </w:pPr>
      <w:r>
        <w:t>5. Архитектура и развёртывание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900"/>
        <w:gridCol w:w="5180"/>
        <w:gridCol w:w="900"/>
        <w:gridCol w:w="2380"/>
      </w:tblGrid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Требование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Обяз.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Ответ участника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ARC-01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Архитектура включает пользовательские клиенты, API, сервисный слой, интеллектуальное ядро и хранилище метаданных.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ARC-02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Развёртывание серверной части выполняется в контуре Заказчика на ОС семейства Linux; состав узлов и ресурсов описывается участником.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ARC-03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Обработка производственных данных и метаданных выполняется на серверах, расположенных на территории Российской Федерации, если иное письменно не согласовано.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ARC-04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Компоненты могут обслуживаться и обновляться раздельно без остановки всей системы, когда это технологически возможно.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ARC-05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Новые домены, шаблоны и поддерживаемые модели подключаются конфигурацией без перекомпиляции программного кода.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ARC-06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Предоставляется схема архитектуры с границами контуров, потоками данных, портами, протоколами и зависимостями.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ARC-07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Поддерживается резервное копирование и восстановление метаданных, конфигураций, журналов и пользовательских наборов данных.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</w:tbl>
    <w:p/>
    <w:p>
      <w:pPr>
        <w:pStyle w:val="Heading1"/>
      </w:pPr>
      <w:r>
        <w:t>6. Функциональные требования</w:t>
      </w:r>
    </w:p>
    <w:p>
      <w:pPr>
        <w:pStyle w:val="Heading2"/>
      </w:pPr>
      <w:r>
        <w:t>6.1. Диалоговый анализ и выполнение запросов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900"/>
        <w:gridCol w:w="5180"/>
        <w:gridCol w:w="900"/>
        <w:gridCol w:w="2380"/>
      </w:tblGrid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Требование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Обяз.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Ответ участника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FUN-01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Пользователь формулирует аналитический запрос на русском или английском языке.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FUN-02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Платформа определяет предметный домен и формирует последовательный план выполнения запроса.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FUN-03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Перед исполнением либо в журнале доступны сформированный запрос к источнику и применённые ограничения.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FUN-04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Результат содержит табличные данные и краткое текстовое пояснение; ошибки представляются без раскрытия чувствительных деталей инфраструктуры.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FUN-05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Сохраняется трасса обработки: пользователь, время, домен, модель, план, запросы к источникам, статус и длительность.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FUN-06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Поддерживается контекст многошагового диалога с возможностью создать, переименовать, найти, открыть и удалить диалог.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FUN-07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Пользователь видит только собственные диалоги и разрешённые ему данные, если роль не предусматривает иное.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</w:tbl>
    <w:p/>
    <w:p>
      <w:pPr>
        <w:pStyle w:val="Heading2"/>
      </w:pPr>
      <w:r>
        <w:t>6.2. Домены, источники и запросы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900"/>
        <w:gridCol w:w="5180"/>
        <w:gridCol w:w="900"/>
        <w:gridCol w:w="2380"/>
      </w:tblGrid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Требование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Обяз.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Ответ участника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DOM-01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Домен хранится в структурированном машиночитаемом формате и описывает таблицы, поля, типы, связи, термины, правила и примеры.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DOM-02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Администратор может добавлять, изменять, проверять и активировать несколько доменов без изменения исходного кода.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DOM-03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Поддерживается подключение к согласованным СУБД и API; конкретный перечень фиксируется в проектной документации.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DOM-04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Доступ к аналитическим источникам выполняется учётной записью только для чтения либо эквивалентным техническим ограничением.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DOM-05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Перед исполнением запрос проверяется на допустимый тип операции, объекты и лимит строк; отклонённые запросы журналируются.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DOM-06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Лимиты времени и объёма выдачи настраиваются администратором.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</w:tbl>
    <w:p/>
    <w:p>
      <w:pPr>
        <w:pStyle w:val="Heading2"/>
      </w:pPr>
      <w:r>
        <w:t>6.3. Наборы данных, визуализация и отчёты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900"/>
        <w:gridCol w:w="5180"/>
        <w:gridCol w:w="900"/>
        <w:gridCol w:w="2380"/>
      </w:tblGrid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Требование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Обяз.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Ответ участника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DAT-01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Результат можно сохранить как именованный набор данных, просматривать постранично, повторно использовать и удалить.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DAT-02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Наборы данных изолированы по учётным записям и ролям.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DAT-03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Платформа предлагает подходящую визуализацию: столбчатую, линейную или круговую диаграмму — при применимости данных.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DAT-04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Диаграмма и таблица могут быть переданы в офисное приложение через плагин либо документированный API.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REP-01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Шаблоны отчётов хранятся в структурированном формате и содержат параметры, описание результата и правила формирования.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REP-02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Администратор добавляет и изменяет шаблоны без изменения программного кода.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</w:tbl>
    <w:p/>
    <w:p>
      <w:pPr>
        <w:pStyle w:val="Heading2"/>
      </w:pPr>
      <w:r>
        <w:t>6.4. Модели и интеллектуальное ядро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900"/>
        <w:gridCol w:w="5180"/>
        <w:gridCol w:w="900"/>
        <w:gridCol w:w="2380"/>
      </w:tblGrid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Требование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Обяз.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Ответ участника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LLM-01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Поддерживается работа с несколькими актуальными совместимыми языковыми моделями, разрешёнными политиками Заказчика.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LLM-02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Администратор выбирает активную модель и параметры подключения через интерфейс или конфигурацию без доработки кода.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LLM-03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Смена модели не нарушает согласованные пользовательские сценарии; несовместимости документируются до переключения.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LLM-04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В журналах фиксируются модель, версия / идентификатор, длительность и технические показатели вызова без сохранения запрещённых данных.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LLM-05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Платформа поддерживает раздельные фазы планирования и исполнения запроса (Plan and Execute или эквивалент).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</w:tbl>
    <w:p/>
    <w:p>
      <w:pPr>
        <w:pStyle w:val="Heading1"/>
      </w:pPr>
      <w:r>
        <w:t>7. Интеграции и клиентские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900"/>
        <w:gridCol w:w="5180"/>
        <w:gridCol w:w="900"/>
        <w:gridCol w:w="2380"/>
      </w:tblGrid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Требование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Обяз.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Ответ участника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INT-01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Аутентификация интегрируется с корпоративным SSO по OAuth 2.0 / OpenID Connect либо согласованному эквиваленту.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INT-02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API документирован, версионируется и возвращает унифицированные ошибки с идентификатором запроса.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INT-03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Предусмотрены клиентские средства для Linux, Windows и macOS либо веб‑клиент, покрывающий требуемые сценарии.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Уточнить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INT-04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Предоставляется командный интерфейс для автоматизации административных или пользовательских операций.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Уточнить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INT-05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Предусмотрены плагины / интеграции для Р7‑Офис и/или LibreOffice в согласованном составе.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Уточнить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INT-06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Интеграции с существующими модулями выполняются через документированные интерфейсы; перечень обменов согласуется на обследовании.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</w:tbl>
    <w:p/>
    <w:p>
      <w:pPr>
        <w:pStyle w:val="Heading1"/>
      </w:pPr>
      <w:r>
        <w:t>8. Информационная безопасность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900"/>
        <w:gridCol w:w="5180"/>
        <w:gridCol w:w="900"/>
        <w:gridCol w:w="2380"/>
      </w:tblGrid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Требование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Обяз.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Ответ участника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SEC-01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Доступ предоставляется только аутентифицированным и авторизованным пользователям в соответствии с ролевой моделью.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SEC-02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Реализована защита от доступа к чужим диалогам, наборам данных и административным операциям по подмене идентификаторов.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SEC-03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Поддерживаются ограничения частоты запросов и защита API от неконтролируемой нагрузки.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SEC-04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Сетевое взаимодействие защищается TLS 1.2 или выше; сертификаты и криптосредства выбираются по требованиям контура Заказчика.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SEC-05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Удалённый доступ Исполнителя допускается только по письменному разрешению Заказчика через согласованные защищённые средства, при необходимости — сертифицированные не ниже требуемого класса.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SEC-06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Платформа не должна требовать передачи персональных данных во внешние сервисы. Обработка персональных данных допускается только при наличии правового основания и утверждённой модели угроз.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SEC-07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Секреты и учётные данные не хранятся в исходном коде и пользовательских журналах; применяются штатные механизмы защищённого хранения.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SEC-08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Действия пользователей и администраторов журналируются в объёме, достаточном для расследования инцидентов.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</w:tbl>
    <w:p/>
    <w:p>
      <w:pPr>
        <w:pStyle w:val="Heading1"/>
      </w:pPr>
      <w:r>
        <w:t>9. Надёжность, производительность и эксплуатация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900"/>
        <w:gridCol w:w="5180"/>
        <w:gridCol w:w="900"/>
        <w:gridCol w:w="2380"/>
      </w:tblGrid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Требование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Обяз.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Ответ участника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OPS-01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Штатный режим эксплуатации — круглосуточный; окна обслуживания и допустимые простои задаются в SLA.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OPS-02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Отказ отдельного необязательного компонента не должен приводить к потере сохранённых метаданных, журналов и наборов данных.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OPS-03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Восстановление метаданных из резервной копии выполняется не более чем за 24 часа либо за более короткий согласованный срок.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OPS-04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Поставщик представляет расчёт ресурсов для начальной и целевой нагрузки с допущениями и запасом.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OPS-05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Платформа формирует структурированные журналы и метрики по вызовам моделей, запросам к БД, времени вычислений, ошибкам и задержкам.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OPS-06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События связываются сквозным trace/request ID; администратору доступны средства поиска и выгрузки журналов.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OPS-07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Изменения схемы метаданных выполняются управляемыми миграциями с проверкой целостности и планом отката.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</w:tbl>
    <w:p/>
    <w:p>
      <w:pPr>
        <w:pStyle w:val="Heading1"/>
      </w:pPr>
      <w:r>
        <w:t>10. Документация и обучение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900"/>
        <w:gridCol w:w="5180"/>
        <w:gridCol w:w="900"/>
        <w:gridCol w:w="2380"/>
      </w:tblGrid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Требование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Обяз.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Ответ участника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DOC-01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Общее описание Платформы и архитектурная схема поставленного решения.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DOC-02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Руководство администратора: установка, конфигурация, резервное копирование, мониторинг, обновление и диагностика.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DOC-03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Руководство пользователя с примерами диалогов, наборов данных, визуализаций и отчётов.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DOC-04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Методика ведения доменных моделей и шаблонов отчётов.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DOC-05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Программа и методика испытаний, тестовые данные и протокол результатов.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DOC-06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Перечень сторонних компонентов, лицензий, версий и ограничений использования.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TRN-01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Обучение проводится минимум для [трёх] целевых групп общей продолжительностью не менее [трёх] академических часов на группу либо по согласованной программе.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Уточнить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TRN-02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 итогам передаются материалы, запись при допустимости, список участников и отчёт о проведении.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</w:tbl>
    <w:p/>
    <w:p>
      <w:pPr>
        <w:pStyle w:val="Heading1"/>
      </w:pPr>
      <w:r>
        <w:t>11. Лицензирование, права и сопровождение</w:t>
      </w:r>
    </w:p>
    <w:p>
      <w:pPr>
        <w:pStyle w:val="ListBullet"/>
      </w:pPr>
      <w:r>
        <w:t>В спецификации фиксируются наименование продукта, реестровая запись при применимости, метрика лицензирования, число установок, территория, срок и разрешённые способы использования.</w:t>
      </w:r>
    </w:p>
    <w:p>
      <w:pPr>
        <w:pStyle w:val="ListBullet"/>
      </w:pPr>
      <w:r>
        <w:t>Права использования передаются в пределах, прямо указанных в договоре, спецификации и EULA; изменение исходного кода, декомпиляция и создание производных продуктов не входят в стандартный объём прав.</w:t>
      </w:r>
    </w:p>
    <w:p>
      <w:pPr>
        <w:pStyle w:val="ListBullet"/>
      </w:pPr>
      <w:r>
        <w:t>Использование как публичного SaaS/IaaS/PaaS‑сервиса, передача третьим лицам и дальнейшее сублицензирование допускаются только при прямом письменном разрешении правообладателя.</w:t>
      </w:r>
    </w:p>
    <w:p>
      <w:pPr>
        <w:pStyle w:val="ListBullet"/>
      </w:pPr>
      <w:r>
        <w:t>Обновления, техническая поддержка, внедрение, обучение и иные услуги включаются в предмет закупки и цену только при прямом указании в спецификации.</w:t>
      </w:r>
    </w:p>
    <w:p>
      <w:pPr>
        <w:pStyle w:val="ListBullet"/>
      </w:pPr>
      <w:r>
        <w:t>Заказчик принимает актуальную редакцию EULA и хранит её вместе с документами поставки; комплект документов должен обеспечивать непрерывную цепочку прав.</w:t>
      </w:r>
    </w:p>
    <w:p>
      <w:pPr>
        <w:pStyle w:val="ListBullet"/>
      </w:pPr>
      <w:r>
        <w:t>Гарантийный срок на выполненные работы — [12 месяцев / иной срок]; начало течения и состав гарантийных обязательств фиксируются договором.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3000"/>
        <w:gridCol w:w="6360"/>
      </w:tblGrid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Параметр лицензии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Значение для заполнения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Программный продукт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Р13.ОРБИТА, версия [указать]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Реестровая запись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№ 32800 либо актуальный номер на дату закупки — проверить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Метрика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[установка / экземпляр / пользователь / иная]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Количество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[указать]; резервный экземпляр — [да/нет]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Территория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Российская Федерация / [уточнить]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Срок прав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[срок действия исключительного права / подписка до даты / иной]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Способы использования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установка, запуск, конфигурирование, интеграция через документированные API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Поддержка и обновления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[включены / отдельный договор / не включены]</w:t>
            </w:r>
          </w:p>
        </w:tc>
      </w:tr>
    </w:tbl>
    <w:p/>
    <w:p>
      <w:pPr>
        <w:pStyle w:val="Heading1"/>
      </w:pPr>
      <w:r>
        <w:t>12. Порядок испытаний и приёмки</w:t>
      </w:r>
    </w:p>
    <w:p>
      <w:r>
        <w:t>До начала испытаний стороны согласуют программу и методику, тестовый контур, данные, роли, критерии и форму протокола.</w:t>
      </w:r>
    </w:p>
    <w:p>
      <w:pPr>
        <w:pStyle w:val="ListNumber"/>
      </w:pPr>
      <w:r>
        <w:t>Проверка комплектности поставки, лицензий, версий и документации.</w:t>
      </w:r>
    </w:p>
    <w:p>
      <w:pPr>
        <w:pStyle w:val="ListNumber"/>
      </w:pPr>
      <w:r>
        <w:t>Проверка установки и конфигурации в целевом контуре.</w:t>
      </w:r>
    </w:p>
    <w:p>
      <w:pPr>
        <w:pStyle w:val="ListNumber"/>
      </w:pPr>
      <w:r>
        <w:t>Функциональные испытания по каждому обязательному требованию и ключевым пользовательским сценариям.</w:t>
      </w:r>
    </w:p>
    <w:p>
      <w:pPr>
        <w:pStyle w:val="ListNumber"/>
      </w:pPr>
      <w:r>
        <w:t>Испытания интеграций, SSO, разграничения доступа, журналирования и резервного восстановления.</w:t>
      </w:r>
    </w:p>
    <w:p>
      <w:pPr>
        <w:pStyle w:val="ListNumber"/>
      </w:pPr>
      <w:r>
        <w:t>Нагрузочные испытания по согласованному профилю: [число пользователей], [частота запросов], [размер данных].</w:t>
      </w:r>
    </w:p>
    <w:p>
      <w:pPr>
        <w:pStyle w:val="ListNumber"/>
      </w:pPr>
      <w:r>
        <w:t>Фиксация замечаний, повторная проверка исправлений и оформление итогового протокола.</w:t>
      </w:r>
    </w:p>
    <w:p>
      <w:pPr>
        <w:pStyle w:val="ListNumber"/>
      </w:pPr>
      <w:r>
        <w:t>Подписание акта при отсутствии блокирующих замечаний; порядок работы с некритическими замечаниями определяется договором.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3000"/>
        <w:gridCol w:w="6360"/>
      </w:tblGrid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Критерий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Условие успешности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Функциональность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все обязательные сценарии пройдены; отклонения письменно согласованы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Безопасность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нет доступа к чужим объектам; запрещённые запросы отклоняются и журналируются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Производительность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достигнуты заполненные Заказчиком показатели на согласованном тестовом наборе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Восстановление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метаданные и конфигурации восстановлены в пределах согласованного RTO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Документация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передан полный комплект в редактируемом и/или утверждённом формате</w:t>
            </w:r>
          </w:p>
        </w:tc>
      </w:tr>
    </w:tbl>
    <w:p/>
    <w:p>
      <w:pPr>
        <w:pStyle w:val="Heading1"/>
      </w:pPr>
      <w:r>
        <w:t>13. Требования к участнику закупки</w:t>
      </w:r>
    </w:p>
    <w:p>
      <w:pPr>
        <w:pStyle w:val="ListBullet"/>
      </w:pPr>
      <w:r>
        <w:t>право поставлять требуемые лицензии и, если применимо, оказывать услуги внедрения и сопровождения, подтверждённое правообладателем или уполномоченным партнёром;</w:t>
      </w:r>
    </w:p>
    <w:p>
      <w:pPr>
        <w:pStyle w:val="ListBullet"/>
      </w:pPr>
      <w:r>
        <w:t>опыт выполнения сопоставимых проектов: [критерий, число, период, документы];</w:t>
      </w:r>
    </w:p>
    <w:p>
      <w:pPr>
        <w:pStyle w:val="ListBullet"/>
      </w:pPr>
      <w:r>
        <w:t>команда с ролями руководителя проекта, архитектора, специалиста по данным/доменам, инженера внедрения и специалиста поддержки;</w:t>
      </w:r>
    </w:p>
    <w:p>
      <w:pPr>
        <w:pStyle w:val="ListBullet"/>
      </w:pPr>
      <w:r>
        <w:t>описанный порядок эскалации к правообладателю и подтверждение доступа к необходимой технической документации;</w:t>
      </w:r>
    </w:p>
    <w:p>
      <w:pPr>
        <w:pStyle w:val="ListBullet"/>
      </w:pPr>
      <w:r>
        <w:t>согласие соблюдать режим конфиденциальности, требования к персональным данным и правила удалённого доступа Заказчика;</w:t>
      </w:r>
    </w:p>
    <w:p>
      <w:pPr>
        <w:pStyle w:val="ListBullet"/>
      </w:pPr>
      <w:r>
        <w:t>требования к сертификатам и лицензиям включаются только при их прямой применимости к предмету и способу оказания услуг.</w:t>
      </w:r>
    </w:p>
    <w:p>
      <w:pPr>
        <w:pStyle w:val="Heading1"/>
      </w:pPr>
      <w:r>
        <w:t>14. Состав заявки участника</w:t>
      </w:r>
    </w:p>
    <w:p>
      <w:pPr>
        <w:pStyle w:val="ListNumber"/>
      </w:pPr>
      <w:r>
        <w:t>Заполненная матрица соответствия всем требованиям с указанием способа реализации и ограничений.</w:t>
      </w:r>
    </w:p>
    <w:p>
      <w:pPr>
        <w:pStyle w:val="ListNumber"/>
      </w:pPr>
      <w:r>
        <w:t>Архитектурное предложение и спецификация вычислительных ресурсов.</w:t>
      </w:r>
    </w:p>
    <w:p>
      <w:pPr>
        <w:pStyle w:val="ListNumber"/>
      </w:pPr>
      <w:r>
        <w:t>Лицензионная спецификация: метрика, количество, срок, территория, поддержка и обновления.</w:t>
      </w:r>
    </w:p>
    <w:p>
      <w:pPr>
        <w:pStyle w:val="ListNumber"/>
      </w:pPr>
      <w:r>
        <w:t>План‑график работ, состав команды, распределение ответственности и допущения.</w:t>
      </w:r>
    </w:p>
    <w:p>
      <w:pPr>
        <w:pStyle w:val="ListNumber"/>
      </w:pPr>
      <w:r>
        <w:t>Программа обучения и проект состава документации.</w:t>
      </w:r>
    </w:p>
    <w:p>
      <w:pPr>
        <w:pStyle w:val="ListNumber"/>
      </w:pPr>
      <w:r>
        <w:t>Описание сопровождения, SLA, каналов регистрации обращений и эскалаций.</w:t>
      </w:r>
    </w:p>
    <w:p>
      <w:pPr>
        <w:pStyle w:val="ListNumber"/>
      </w:pPr>
      <w:r>
        <w:t>Стоимость с отдельным выделением прав использования, работ, поддержки и опциональных позиций.</w:t>
      </w:r>
    </w:p>
    <w:p>
      <w:pPr>
        <w:pStyle w:val="ListNumber"/>
      </w:pPr>
      <w:r>
        <w:t>Подтверждение полномочий на поставку прав и использование товарных знаков в объёме заявки.</w:t>
      </w:r>
    </w:p>
    <w:p>
      <w:pPr>
        <w:pStyle w:val="Heading1"/>
      </w:pPr>
      <w:r>
        <w:t>15. Матрица ответственности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2300"/>
        <w:gridCol w:w="2250"/>
        <w:gridCol w:w="2500"/>
        <w:gridCol w:w="2310"/>
      </w:tblGrid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Работа</w:t>
            </w:r>
          </w:p>
        </w:tc>
        <w:tc>
          <w:tcPr>
            <w:tcW w:type="dxa" w:w="2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Заказчик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Исполнитель</w:t>
            </w:r>
          </w:p>
        </w:tc>
        <w:tc>
          <w:tcPr>
            <w:tcW w:type="dxa" w:w="23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Доступы и инфраструктура</w:t>
            </w:r>
          </w:p>
        </w:tc>
        <w:tc>
          <w:tcPr>
            <w:tcW w:type="dxa" w:w="2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предоставляет по регламенту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формирует требования</w:t>
            </w:r>
          </w:p>
        </w:tc>
        <w:tc>
          <w:tcPr>
            <w:tcW w:type="dxa" w:w="23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готовый контур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Источники и качество данных</w:t>
            </w:r>
          </w:p>
        </w:tc>
        <w:tc>
          <w:tcPr>
            <w:tcW w:type="dxa" w:w="2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владелец и согласующий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анализирует и подключает</w:t>
            </w:r>
          </w:p>
        </w:tc>
        <w:tc>
          <w:tcPr>
            <w:tcW w:type="dxa" w:w="23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реестр источников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Доменные модели</w:t>
            </w:r>
          </w:p>
        </w:tc>
        <w:tc>
          <w:tcPr>
            <w:tcW w:type="dxa" w:w="2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дает экспертов и принимает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разрабатывает и документирует</w:t>
            </w:r>
          </w:p>
        </w:tc>
        <w:tc>
          <w:tcPr>
            <w:tcW w:type="dxa" w:w="23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набор доменов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Безопасность</w:t>
            </w:r>
          </w:p>
        </w:tc>
        <w:tc>
          <w:tcPr>
            <w:tcW w:type="dxa" w:w="2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утверждает модель и доступы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реализует в объёме поставки</w:t>
            </w:r>
          </w:p>
        </w:tc>
        <w:tc>
          <w:tcPr>
            <w:tcW w:type="dxa" w:w="23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протокол проверки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Обучение</w:t>
            </w:r>
          </w:p>
        </w:tc>
        <w:tc>
          <w:tcPr>
            <w:tcW w:type="dxa" w:w="2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формирует группы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проводит и отчитывается</w:t>
            </w:r>
          </w:p>
        </w:tc>
        <w:tc>
          <w:tcPr>
            <w:tcW w:type="dxa" w:w="23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обученные пользователи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Приёмка</w:t>
            </w:r>
          </w:p>
        </w:tc>
        <w:tc>
          <w:tcPr>
            <w:tcW w:type="dxa" w:w="2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организует комиссию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предоставляет результаты</w:t>
            </w:r>
          </w:p>
        </w:tc>
        <w:tc>
          <w:tcPr>
            <w:tcW w:type="dxa" w:w="23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протокол и акт</w:t>
            </w:r>
          </w:p>
        </w:tc>
      </w:tr>
    </w:tbl>
    <w:p>
      <w:pPr>
        <w:pStyle w:val="Heading1"/>
      </w:pPr>
      <w:r>
        <w:t>16. Контрольный лист перед публикацией</w:t>
      </w:r>
    </w:p>
    <w:p>
      <w:pPr>
        <w:pStyle w:val="ListBullet"/>
      </w:pPr>
      <w:r>
        <w:t>Удалены все квадратные скобки либо явно отмечены параметры, которые участник должен предложить.</w:t>
      </w:r>
    </w:p>
    <w:p>
      <w:pPr>
        <w:pStyle w:val="ListBullet"/>
      </w:pPr>
      <w:r>
        <w:t>Проверены актуальное наименование продукта, номер реестровой записи и применимость освобождения от НДС.</w:t>
      </w:r>
    </w:p>
    <w:p>
      <w:pPr>
        <w:pStyle w:val="ListBullet"/>
      </w:pPr>
      <w:r>
        <w:t>Метрика, количество установок, территория, срок прав и способы использования совпадают в ТЗ, спецификации и договоре.</w:t>
      </w:r>
    </w:p>
    <w:p>
      <w:pPr>
        <w:pStyle w:val="ListBullet"/>
      </w:pPr>
      <w:r>
        <w:t>Поддержка, обновления, внедрение и обучение не смешаны с правами использования и оценены отдельными позициями.</w:t>
      </w:r>
    </w:p>
    <w:p>
      <w:pPr>
        <w:pStyle w:val="ListBullet"/>
      </w:pPr>
      <w:r>
        <w:t>Установлены измеримые показатели нагрузки, доступности, времени ответа, резервного восстановления и приёмки.</w:t>
      </w:r>
    </w:p>
    <w:p>
      <w:pPr>
        <w:pStyle w:val="ListBullet"/>
      </w:pPr>
      <w:r>
        <w:t>Исключены избыточные требования к технологиям, сертификатам и опыту, не связанные с результатом закупки.</w:t>
      </w:r>
    </w:p>
    <w:p>
      <w:pPr>
        <w:pStyle w:val="ListBullet"/>
      </w:pPr>
      <w:r>
        <w:t>Проект договора содержит порядок доступа к данным, режим конфиденциальности, ответственность и гарантийные обязательства.</w:t>
      </w:r>
    </w:p>
    <w:p>
      <w:pPr>
        <w:pStyle w:val="ListBullet"/>
      </w:pPr>
      <w:r>
        <w:t>Согласованы программа испытаний и состав документов, подтверждающих непрерывную цепочку прав.</w:t>
      </w:r>
    </w:p>
    <w:p>
      <w:pPr>
        <w:pStyle w:val="Heading1"/>
      </w:pPr>
      <w:r>
        <w:t>Приложение А. Минимальные сценарии приёмочных испытаний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C9D1"/>
          <w:left w:val="single" w:sz="6" w:space="0" w:color="C7C9D1"/>
          <w:bottom w:val="single" w:sz="6" w:space="0" w:color="C7C9D1"/>
          <w:right w:val="single" w:sz="6" w:space="0" w:color="C7C9D1"/>
          <w:insideH w:val="single" w:sz="6" w:space="0" w:color="C7C9D1"/>
          <w:insideV w:val="single" w:sz="6" w:space="0" w:color="C7C9D1"/>
        </w:tblBorders>
      </w:tblPr>
      <w:tblGrid>
        <w:gridCol w:w="900"/>
        <w:gridCol w:w="5180"/>
        <w:gridCol w:w="900"/>
        <w:gridCol w:w="2380"/>
      </w:tblGrid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Требование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Обяз.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B1D59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Ответ участника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TST-01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Пользователь входит через SSO и видит только разрешённые домены.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TST-02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Запрос на естественном языке преобразуется в план и безопасный запрос к источнику; результат объясняется.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TST-03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Попытка изменения данных или обращения к запрещённому объекту отклоняется и фиксируется в журнале.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TST-04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Пользователь сохраняет набор данных, строит диаграмму и повторно открывает результат.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TST-05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Администратор добавляет домен и шаблон отчёта без изменения программного кода.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TST-06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Администратор переключает совместимую LLM и подтверждает сохранение ключевых сценариев.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TST-07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События пользователя, LLM и БД объединяются единым идентификатором трассы.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TST-08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Резервная копия метаданных восстанавливается в чистом тестовом контуре.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TST-09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Проверена интеграция с офисным приложением / API в заявленном объёме.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Уточнить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TST-10</w:t>
            </w:r>
          </w:p>
        </w:tc>
        <w:tc>
          <w:tcPr>
            <w:tcW w:type="dxa" w:w="51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Подтверждены показатели нагрузки и времени ответа на согласованном наборе.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Да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8F6"/>
          </w:tcPr>
          <w:p>
            <w:pPr>
              <w:spacing w:before="0" w:after="60" w:line="252" w:lineRule="auto"/>
            </w:pPr>
            <w:r>
              <w:rPr>
                <w:rFonts w:ascii="Calibri" w:hAnsi="Calibri"/>
                <w:sz w:val="18"/>
              </w:rPr>
              <w:t>Соответствует / комментарий: ______</w:t>
            </w:r>
          </w:p>
        </w:tc>
      </w:tr>
    </w:tbl>
    <w:p/>
    <w:p>
      <w:pPr>
        <w:pStyle w:val="Heading1"/>
      </w:pPr>
      <w:r>
        <w:t>Приложение Б. Источники и границы шаблона</w:t>
      </w:r>
    </w:p>
    <w:p>
      <w:r>
        <w:t>Шаблон подготовлен на основе требований к аналитическому ИИ‑решению из технического задания на модернизацию государственной информационной системы АПК и адаптирован к закупке Р13.ОРБИТА. Из исходного документа сохранены принципы модульной архитектуры, Plan and Execute, доменной конфигурации без доработки кода, безопасных запросов только на чтение, SSO, трассировки, смены LLM, офисных интеграций, обучения и формализованной приёмки. Отраслевые сведения, конкретные объёмы работ, персоналии, цены и реквизиты исключены.</w:t>
      </w:r>
    </w:p>
    <w:p>
      <w:pPr>
        <w:pStyle w:val="Callout"/>
      </w:pPr>
      <w:r>
        <w:rPr>
          <w:b/>
        </w:rPr>
        <w:t xml:space="preserve">Правовой статус. </w:t>
      </w:r>
      <w:r>
        <w:t>Этот документ не является офертой и не заменяет договор, Заказ, спецификацию и EULA. Коммерческие условия и точный объём прав определяются подписанными документами.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F7078"/>
        <w:sz w:val="16"/>
      </w:rPr>
      <w:t xml:space="preserve">Р13.ОРБИТА  ·  </w:t>
    </w:r>
    <w:r>
      <w:rPr>
        <w:rFonts w:ascii="Calibri" w:hAnsi="Calibri"/>
        <w:color w:val="6F7078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6" w:space="8" w:color="D7D8DE"/>
      </w:pBdr>
    </w:pPr>
    <w:r>
      <w:rPr>
        <w:rFonts w:ascii="Calibri" w:hAnsi="Calibri"/>
        <w:b/>
        <w:color w:val="6F7078"/>
        <w:sz w:val="16"/>
      </w:rPr>
      <w:t>Р13.ОРБИТА  ·  ТИПОВОЕ ТЕХНИЧЕСКОЕ ЗАДАНИЕ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3A3B4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B1D5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B1D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B1D59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B1D5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20"/>
    </w:pPr>
    <w:rPr>
      <w:rFonts w:asciiTheme="majorHAnsi" w:eastAsiaTheme="majorEastAsia" w:hAnsiTheme="majorHAnsi" w:cstheme="majorBidi" w:ascii="Calibri" w:hAnsi="Calibri"/>
      <w:b w:val="0"/>
      <w:i/>
      <w:iCs/>
      <w:color w:val="3A3B42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20"/>
    </w:pPr>
    <w:rPr>
      <w:rFonts w:ascii="Calibri" w:hAnsi="Calibri"/>
      <w:b/>
      <w:color w:val="A2382E"/>
      <w:sz w:val="18"/>
    </w:rPr>
  </w:style>
  <w:style w:type="paragraph" w:customStyle="1" w:styleId="Callout">
    <w:name w:val="Callout"/>
    <w:pPr>
      <w:spacing w:before="120" w:after="160"/>
      <w:ind w:left="259" w:right="259"/>
    </w:pPr>
    <w:rPr>
      <w:rFonts w:ascii="Calibri" w:hAnsi="Calibri"/>
      <w:color w:val="1B1D59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